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5D" w:rsidRPr="0016665D" w:rsidRDefault="0016665D" w:rsidP="0016665D">
      <w:pPr>
        <w:shd w:val="clear" w:color="auto" w:fill="FFFFFF"/>
        <w:spacing w:after="0" w:line="295" w:lineRule="atLeast"/>
        <w:outlineLvl w:val="1"/>
        <w:rPr>
          <w:rFonts w:ascii="Verdana" w:eastAsia="Times New Roman" w:hAnsi="Verdana" w:cs="Times New Roman"/>
          <w:color w:val="0184DF"/>
          <w:sz w:val="37"/>
          <w:szCs w:val="37"/>
        </w:rPr>
      </w:pP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Що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таке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система НАССР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1"/>
        <w:rPr>
          <w:rFonts w:ascii="Verdana" w:eastAsia="Times New Roman" w:hAnsi="Verdana" w:cs="Times New Roman"/>
          <w:color w:val="0184DF"/>
          <w:sz w:val="37"/>
          <w:szCs w:val="37"/>
        </w:rPr>
      </w:pP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Міжнародна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система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аналізу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небезпечних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факторів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та контролю у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критичних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точках (англ. HACCP) — система, яка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ідентифіку</w:t>
      </w:r>
      <w:proofErr w:type="gram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є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,</w:t>
      </w:r>
      <w:proofErr w:type="gram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оцінює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контролює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небезпечні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фактори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що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є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визначальними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для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безпечності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харчових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продуктів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.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Іншими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словами —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це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аналіз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ризиків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і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контролю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критичних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точок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2"/>
        <w:rPr>
          <w:rFonts w:ascii="Verdana" w:eastAsia="Times New Roman" w:hAnsi="Verdana" w:cs="Times New Roman"/>
          <w:bCs/>
          <w:cap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aps/>
          <w:color w:val="153B53"/>
          <w:sz w:val="26"/>
          <w:szCs w:val="26"/>
        </w:rPr>
        <w:t>СИСТЕМА НАССР: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1.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Стосується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лише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безпечності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продукті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</w:t>
      </w:r>
      <w:proofErr w:type="spellEnd"/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не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стосується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2.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Запобіжний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інструмент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контролю за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небезпечними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факторами.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3. Не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гарантує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безпечності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продукті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</w:t>
      </w:r>
      <w:proofErr w:type="spellEnd"/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лише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зменшує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ризик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виникнення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випадків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щодо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загрози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безпечності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4. Не автономна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програма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.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основа —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це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система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заходів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контролю,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складається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програм-передумов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потрібно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запровадити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й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належно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ідтримувати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Контроль за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реалізацією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чинного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законодавства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щодо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впровадження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постійно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діючих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процедур,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заснованих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на принципах НАССР,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покладено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Державну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службу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України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питань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безпечності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захисту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споживачів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.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щодо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розробки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впровадження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застосування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постійно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діючих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процедур,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заснованих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на принципах НАССР, затвердило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Мінагрополітики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наказом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01.10.2012 № 590</w:t>
      </w:r>
      <w:proofErr w:type="gramEnd"/>
    </w:p>
    <w:p w:rsidR="0016665D" w:rsidRPr="0016665D" w:rsidRDefault="0016665D" w:rsidP="0016665D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184DF"/>
          <w:sz w:val="37"/>
          <w:szCs w:val="37"/>
        </w:rPr>
      </w:pP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Реалізація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згаданої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концепції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дозволяє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домогтися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наступних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позитивних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моменті</w:t>
      </w:r>
      <w:proofErr w:type="gram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в</w:t>
      </w:r>
      <w:proofErr w:type="spellEnd"/>
      <w:proofErr w:type="gramEnd"/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*В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обов'язковому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порядку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контролюється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сировина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поставляється</w:t>
      </w:r>
      <w:proofErr w:type="spellEnd"/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в ДНЗ для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приготування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їжі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для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дітей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*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Існує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можливість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документального контролю,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проби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проходила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сировина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перед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тим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як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потрапити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на </w:t>
      </w:r>
      <w:proofErr w:type="spellStart"/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ст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іл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до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дитини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*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Здійснюється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жорсткий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контроль за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умовами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приготування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в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частині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дотримання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санітарії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гі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г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ієни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*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Своєчасна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якісна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дезінфекція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інвентарю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приміщення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їдальні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кухні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*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Особиста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гі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г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ієна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персоналу;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*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Правильне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прибирання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відходів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см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іття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*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Відсутність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комах;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*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не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відповідають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якістю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тим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дозволено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готувати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їжу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дітям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повертаються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постачальникам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або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утилізуються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lastRenderedPageBreak/>
        <w:t>*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Жорсткий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контроль за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зберіганням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напівфабрикатів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.К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омплекс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цих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заходів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допомагає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захистити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дитину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різних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захворювань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включаючи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алергічні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отруєння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Комплекс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цих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заходів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допомагає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захистити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дитину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р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ізних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захворювань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включаючи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алергічні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отруєння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184DF"/>
          <w:sz w:val="37"/>
          <w:szCs w:val="37"/>
        </w:rPr>
      </w:pP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Головним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завданням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системи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HACCP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є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аналіз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небезпек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і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проведення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поетапного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контролю </w:t>
      </w:r>
      <w:proofErr w:type="gram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над</w:t>
      </w:r>
      <w:proofErr w:type="gram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усіма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етапами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приготування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страв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і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продуктів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харчування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починаючи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від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прийому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продуктів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на склад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і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до моменту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подачі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готової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страви.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Контроль,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реалізується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в рамках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створеної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системи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менеджменту,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передбачає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відпрацювання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пакету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документів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неухильного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виконання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Сюди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входять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: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*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яким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повинні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відповідати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наявні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в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харчоблоці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ДНЗ посуд,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кухонний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інвентар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обладнання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*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пред'являються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до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кулінарних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виробів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продукті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</w:t>
      </w:r>
      <w:proofErr w:type="spellEnd"/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етапах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споживання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приготування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зберігання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*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регламентують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безпеку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етапах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приготування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їжі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(за видами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харчової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продукції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).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184DF"/>
          <w:sz w:val="37"/>
          <w:szCs w:val="37"/>
        </w:rPr>
      </w:pP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Перелік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ККТ (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критичних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контрольних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точок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) на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етапах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виготовлення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харчової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продукції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: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*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Придбання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харчової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сировини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* Контролю упаковки, 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якій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знадходять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* Порядок контролю ККТ на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етапі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приготування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їжі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* Алгоритм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дії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посадової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особи при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виявленні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відхилень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фактичних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параметрів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встановлених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.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184DF"/>
          <w:sz w:val="37"/>
          <w:szCs w:val="37"/>
        </w:rPr>
      </w:pP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Нормативно-правові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акти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які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зобов’язують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операторі</w:t>
      </w:r>
      <w:proofErr w:type="gram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в</w:t>
      </w:r>
      <w:proofErr w:type="spellEnd"/>
      <w:proofErr w:type="gram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gram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ринку</w:t>
      </w:r>
      <w:proofErr w:type="gram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розробити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>впровадити</w:t>
      </w:r>
      <w:proofErr w:type="spellEnd"/>
      <w:r w:rsidRPr="0016665D">
        <w:rPr>
          <w:rFonts w:ascii="Verdana" w:eastAsia="Times New Roman" w:hAnsi="Verdana" w:cs="Times New Roman"/>
          <w:color w:val="0184DF"/>
          <w:sz w:val="37"/>
          <w:szCs w:val="37"/>
        </w:rPr>
        <w:t xml:space="preserve"> систему НАССР: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– Закон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України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№ 771 «Про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основні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принципи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до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безпечності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» (ст. 20, 21);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– Закон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України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№ 2042 «Про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державний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контроль за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дотриманням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законодавства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про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корми,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побічні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тваринного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походження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здоров’я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благополуччя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тварин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»;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– Наказ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Міністерства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аграрної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політики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продовольства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України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№ 590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01.10.2012 «Про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затвердження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щодо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розробки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впровадження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застосування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постійно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діючих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процедур,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заснованих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на принципах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Системи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управління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безпечністю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(НАССР)»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.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</w:t>
      </w:r>
      <w:proofErr w:type="spellEnd"/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змінами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внесеними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згідно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lastRenderedPageBreak/>
        <w:t xml:space="preserve">Наказом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Міністерства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аграрної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політики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продовольства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№ 429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17.10.2015;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– Наказ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Міністерства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аграрної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політики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продовольства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України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№ 41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06.02.2017 «Про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затвердження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форми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акту,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складеного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за результатами аудиту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щодо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додержання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операторами ринку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законодавства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стосовно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постійно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діючих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процедур,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засновані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на принципах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системи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аналізу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небезпечних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факторі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</w:t>
      </w:r>
      <w:proofErr w:type="spellEnd"/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»;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– Наказ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Міністерства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аграрної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політики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продовольства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України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№ 42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06.02.2017 «Про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затвердження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форми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акту,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складеного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за результатами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проведення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планового (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позапланового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) заходу державного контролю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стосовно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додержання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операторами ринку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гі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г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ієнічних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щодо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поводження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харчовими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продуктами»;</w:t>
      </w:r>
    </w:p>
    <w:p w:rsidR="0016665D" w:rsidRPr="0016665D" w:rsidRDefault="0016665D" w:rsidP="0016665D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Cs/>
          <w:color w:val="153B53"/>
          <w:sz w:val="26"/>
          <w:szCs w:val="26"/>
        </w:rPr>
      </w:pPr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– Постанова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Кабінету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міні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стр</w:t>
      </w:r>
      <w:proofErr w:type="gram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України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№896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31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жовтня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2018р. </w:t>
      </w:r>
      <w:proofErr w:type="gram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«Порядок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визначення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періодичності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здійснення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планових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заходів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державного контролю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відповідності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діяльності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операторів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ринку (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потужностей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)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вимогам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законодавства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про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корми,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здоров’я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благополуччя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тварин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здійснюються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Державною службою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питань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безпечності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харчових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продуктів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захисту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споживачів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та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критерії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, за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якими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оцінюється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ступінь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ризику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від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її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 xml:space="preserve"> </w:t>
      </w:r>
      <w:proofErr w:type="spellStart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провадження</w:t>
      </w:r>
      <w:proofErr w:type="spellEnd"/>
      <w:r w:rsidRPr="0016665D">
        <w:rPr>
          <w:rFonts w:ascii="Verdana" w:eastAsia="Times New Roman" w:hAnsi="Verdana" w:cs="Times New Roman"/>
          <w:bCs/>
          <w:color w:val="153B53"/>
          <w:sz w:val="26"/>
          <w:szCs w:val="26"/>
        </w:rPr>
        <w:t>».</w:t>
      </w:r>
      <w:proofErr w:type="gramEnd"/>
    </w:p>
    <w:p w:rsidR="000D2B63" w:rsidRPr="0016665D" w:rsidRDefault="000D2B63"/>
    <w:sectPr w:rsidR="000D2B63" w:rsidRPr="0016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6665D"/>
    <w:rsid w:val="000D2B63"/>
    <w:rsid w:val="0016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66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6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66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6665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2021-01-15T15:57:00Z</cp:lastPrinted>
  <dcterms:created xsi:type="dcterms:W3CDTF">2021-01-15T15:56:00Z</dcterms:created>
  <dcterms:modified xsi:type="dcterms:W3CDTF">2021-01-15T15:59:00Z</dcterms:modified>
</cp:coreProperties>
</file>